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3"/>
        <w:jc w:val="both"/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осуществления в 2024 году денежной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выплаты гражданам, временно отселенным из многоквартирного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жилого дома, пострадавшего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чрезвычайной ситуации,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возникшей в результате взрыва бытового газа, произошедшего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 ноября 2018 года на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Приамурское городское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Смидовичского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Приамурский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ул. Островского, д. 12</w:t>
      </w:r>
      <w:r/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Еврейской автономной области «Социальная поддержка населения Еврейской автономной области» на 2020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2024 годы, утвержденной постановлением правительства Еврейской автономной области от 29.10.2019 № 367-пп,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ельство Еврейской автономной области</w:t>
      </w:r>
      <w:r/>
    </w:p>
    <w:p>
      <w:pPr>
        <w:pStyle w:val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в 2024 году</w:t>
      </w:r>
      <w:r>
        <w:rPr>
          <w:rFonts w:ascii="Times New Roman" w:hAnsi="Times New Roman" w:cs="Times New Roman"/>
          <w:sz w:val="28"/>
          <w:szCs w:val="28"/>
        </w:rPr>
        <w:t xml:space="preserve">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</w:t>
      </w:r>
      <w:r>
        <w:rPr>
          <w:rFonts w:ascii="Times New Roman" w:hAnsi="Times New Roman" w:cs="Times New Roman"/>
          <w:sz w:val="28"/>
          <w:szCs w:val="28"/>
        </w:rPr>
        <w:br/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6 ноября 2018 года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Приамурское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Смидовичского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адресу: пос. Приамурский, </w:t>
        <w:br/>
        <w:t xml:space="preserve">ул. Островского, д. 12.</w:t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после дня его официального опубликования и распространяется на правоотно</w:t>
      </w:r>
      <w:r>
        <w:rPr>
          <w:rFonts w:ascii="Times New Roman" w:hAnsi="Times New Roman" w:cs="Times New Roman"/>
          <w:sz w:val="28"/>
          <w:szCs w:val="28"/>
        </w:rPr>
        <w:t xml:space="preserve">шения, возникшие с 01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/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387"/>
        <w:jc w:val="both"/>
        <w:tabs>
          <w:tab w:val="left" w:pos="538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  <w:r/>
    </w:p>
    <w:p>
      <w:pPr>
        <w:ind w:left="5387"/>
        <w:jc w:val="both"/>
        <w:tabs>
          <w:tab w:val="left" w:pos="538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5387"/>
        <w:jc w:val="both"/>
        <w:tabs>
          <w:tab w:val="left" w:pos="538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</w:t>
      </w:r>
      <w:r/>
    </w:p>
    <w:p>
      <w:pPr>
        <w:ind w:left="5387"/>
        <w:jc w:val="both"/>
        <w:tabs>
          <w:tab w:val="left" w:pos="538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 области </w:t>
      </w:r>
      <w:r/>
    </w:p>
    <w:p>
      <w:pPr>
        <w:ind w:left="5387"/>
        <w:jc w:val="both"/>
        <w:tabs>
          <w:tab w:val="left" w:pos="538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___________ № ______</w:t>
      </w:r>
      <w:r/>
    </w:p>
    <w:p>
      <w:pPr>
        <w:pStyle w:val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3"/>
        <w:jc w:val="center"/>
        <w:rPr>
          <w:rFonts w:ascii="Times New Roman" w:hAnsi="Times New Roman" w:cs="Times New Roman"/>
          <w:b w:val="0"/>
          <w:sz w:val="28"/>
          <w:szCs w:val="28"/>
        </w:rPr>
      </w:pPr>
      <w:r/>
      <w:bookmarkStart w:id="1" w:name="P34"/>
      <w:r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</w:t>
      </w:r>
      <w:r/>
    </w:p>
    <w:p>
      <w:pPr>
        <w:pStyle w:val="86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денежной выплаты гражданам,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временно отселенным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многоквартирного жилого дома,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пострадавшего </w:t>
        <w:br/>
        <w:t xml:space="preserve">в чрезвычайной ситуации, возникшей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результате взрыва бытового газа, произошедшего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 ноября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2018 года на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Приамурское городское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Смидовичского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адресу: </w:t>
        <w:br/>
        <w:t xml:space="preserve">пос.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Приамурский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ул. Островского, д. 12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sz w:val="28"/>
          <w:szCs w:val="28"/>
        </w:rPr>
        <w:t xml:space="preserve"> денежной выплаты гражданам, временно отселенным из многоквартирного жилого дома, пострадавшего </w:t>
      </w:r>
      <w:r>
        <w:rPr>
          <w:rFonts w:ascii="Times New Roman" w:hAnsi="Times New Roman" w:cs="Times New Roman"/>
          <w:sz w:val="28"/>
          <w:szCs w:val="28"/>
        </w:rPr>
        <w:t xml:space="preserve">в чрезвычайной ситуации, возникшей в результате взрыва бытового газа, произошедшего 06 ноября 2018 года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Приамурское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Смидовичского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</w:t>
        <w:br/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пос. Приамурский, ул. Островского, д. 12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Порядок), определяет механизм 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sz w:val="28"/>
          <w:szCs w:val="28"/>
        </w:rPr>
        <w:t xml:space="preserve"> денежной выплаты гражданам, временно отселенным из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жилого дома, пострадавшего </w:t>
      </w:r>
      <w:r>
        <w:rPr>
          <w:rFonts w:ascii="Times New Roman" w:hAnsi="Times New Roman" w:cs="Times New Roman"/>
          <w:sz w:val="28"/>
          <w:szCs w:val="28"/>
        </w:rPr>
        <w:t xml:space="preserve">в чрезвычайной ситуации, возникшей в результате взрыва бытового газа, произошедшего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6 ноября 2018 года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Приамурское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Смидовичского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</w:t>
        <w:br/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r>
        <w:rPr>
          <w:rFonts w:ascii="Times New Roman" w:hAnsi="Times New Roman" w:cs="Times New Roman"/>
          <w:sz w:val="28"/>
          <w:szCs w:val="28"/>
        </w:rPr>
        <w:t xml:space="preserve">Приамурский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ул. Островского, д. 12 (далее – </w:t>
      </w:r>
      <w:r>
        <w:rPr>
          <w:rFonts w:ascii="Times New Roman" w:hAnsi="Times New Roman" w:cs="Times New Roman"/>
          <w:sz w:val="28"/>
          <w:szCs w:val="28"/>
        </w:rPr>
        <w:t xml:space="preserve">денежная выплата).</w:t>
      </w:r>
      <w:r/>
    </w:p>
    <w:p>
      <w:pPr>
        <w:pStyle w:val="862"/>
        <w:ind w:firstLine="709"/>
        <w:jc w:val="both"/>
        <w:tabs>
          <w:tab w:val="left" w:pos="956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2" w:name="P45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2. Право на получение денежной выплаты имеют граждане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проживавшие в жилых помещениях,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подъездах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 и 4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 xml:space="preserve">, пострадавшего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  <w:br/>
        <w:t xml:space="preserve">в чрезвычайной ситуации, возникшей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взрыва </w:t>
      </w:r>
      <w:r>
        <w:rPr>
          <w:rFonts w:ascii="Times New Roman" w:hAnsi="Times New Roman" w:cs="Times New Roman"/>
          <w:sz w:val="28"/>
          <w:szCs w:val="28"/>
        </w:rPr>
        <w:t xml:space="preserve">бытового газа, произошедшего 06 ноября 2018 года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Приамурское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Смидовичского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по адресу: </w:t>
        <w:br/>
      </w:r>
      <w:r>
        <w:rPr>
          <w:rFonts w:ascii="Times New Roman" w:hAnsi="Times New Roman" w:cs="Times New Roman"/>
          <w:sz w:val="28"/>
          <w:szCs w:val="28"/>
        </w:rPr>
        <w:t xml:space="preserve">пос. Приамурский, ул. Островского, д. 12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многоквартирный жилой дом), и временно отселенные из многоквартирного жилого дома, и граждане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проживавшие в жилых помещениях,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в подъездах</w:t>
      </w:r>
      <w:r>
        <w:rPr>
          <w:rFonts w:ascii="Times New Roman" w:hAnsi="Times New Roman" w:cs="Times New Roman"/>
          <w:sz w:val="28"/>
          <w:szCs w:val="28"/>
        </w:rPr>
        <w:t xml:space="preserve"> № 2 и 3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временно отселенные из 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 xml:space="preserve"> и не имеющие </w:t>
      </w:r>
      <w:r>
        <w:rPr>
          <w:rFonts w:ascii="Times New Roman" w:hAnsi="Times New Roman" w:cs="Times New Roman"/>
          <w:sz w:val="28"/>
          <w:szCs w:val="28"/>
        </w:rPr>
        <w:t xml:space="preserve">права на получение государственных жилищных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гражданин).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Выплата денежной выплаты осуществляется ежеквартально </w:t>
        <w:br/>
        <w:t xml:space="preserve">в 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змере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33 103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одному из граждан, проживавших в одном из жилых помещений многоквартирного жилого дома, указанных в пункте 2 настоящего Порядка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жилое помещение), с согласия остальных граждан, проживавших совместно с ним в одном жилом помещении.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осуществления денежной выплаты необходимы следующие документы (сведения):</w:t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48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заявление об осуществлении денежной выплаты по форме, 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социальной защиты населения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49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гражданина и граждан, проживавших совместно с ним в одном жилом помещении (при их наличии);</w:t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P50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в)</w:t>
      </w:r>
      <w:r>
        <w:rPr>
          <w:rFonts w:ascii="Times New Roman" w:hAnsi="Times New Roman" w:cs="Times New Roman"/>
          <w:sz w:val="28"/>
          <w:szCs w:val="28"/>
        </w:rPr>
        <w:t xml:space="preserve"> сведения о регистрации гражданина и граждан, проживавших совместно с ним в одном жилом помещении (при их наличии), по месту жительства;</w:t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" w:name="P51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решение суда об установлении факта постоянного 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оживания гражданина и граждан, проживающих (проживавших) совместно с ним (при их наличии), в жилом помещении (в случае отсутствия у гражданина или граждан, проживающих (проживавших) совместно с ним в одном жилом помещении, регистрации по месту жительства);</w:t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7" w:name="P52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д) документ, подтверждающий временное отселение гражданина и граждан, проживавших совместно с ним в одном жилом помещении (при их наличии), из жилого помещения.</w:t>
      </w:r>
      <w:r/>
    </w:p>
    <w:p>
      <w:pPr>
        <w:pStyle w:val="862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Д</w:t>
      </w:r>
      <w:r>
        <w:rPr>
          <w:rFonts w:ascii="Times New Roman" w:hAnsi="Times New Roman" w:cs="Times New Roman"/>
          <w:sz w:val="28"/>
          <w:szCs w:val="28"/>
        </w:rPr>
        <w:t xml:space="preserve">ля получения денежной выплаты гражданин 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в областное государственное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в Еврейской автономн</w:t>
      </w:r>
      <w:r>
        <w:rPr>
          <w:rFonts w:ascii="Times New Roman" w:hAnsi="Times New Roman" w:cs="Times New Roman"/>
          <w:sz w:val="28"/>
          <w:szCs w:val="28"/>
        </w:rPr>
        <w:t xml:space="preserve">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ОГБУ </w:t>
      </w:r>
      <w:r>
        <w:rPr>
          <w:rFonts w:ascii="Times New Roman" w:hAnsi="Times New Roman" w:cs="Times New Roman"/>
          <w:sz w:val="28"/>
          <w:szCs w:val="28"/>
        </w:rPr>
        <w:t xml:space="preserve">«МФЦ»</w:t>
      </w:r>
      <w:r>
        <w:rPr>
          <w:rFonts w:ascii="Times New Roman" w:hAnsi="Times New Roman" w:cs="Times New Roman"/>
          <w:sz w:val="28"/>
          <w:szCs w:val="28"/>
        </w:rPr>
        <w:t xml:space="preserve">) или филиал </w:t>
      </w:r>
      <w:r>
        <w:rPr>
          <w:rFonts w:ascii="Times New Roman" w:hAnsi="Times New Roman" w:cs="Times New Roman"/>
          <w:sz w:val="28"/>
          <w:szCs w:val="28"/>
        </w:rPr>
        <w:t xml:space="preserve">ОГБУ </w:t>
      </w:r>
      <w:r>
        <w:rPr>
          <w:rFonts w:ascii="Times New Roman" w:hAnsi="Times New Roman" w:cs="Times New Roman"/>
          <w:sz w:val="28"/>
          <w:szCs w:val="28"/>
        </w:rPr>
        <w:t xml:space="preserve">«МФЦ»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филиал ОГБУ </w:t>
      </w:r>
      <w:r>
        <w:rPr>
          <w:rFonts w:ascii="Times New Roman" w:hAnsi="Times New Roman" w:cs="Times New Roman"/>
          <w:sz w:val="28"/>
          <w:szCs w:val="28"/>
        </w:rPr>
        <w:t xml:space="preserve">«МФЦ»</w:t>
      </w:r>
      <w:r>
        <w:rPr>
          <w:rFonts w:ascii="Times New Roman" w:hAnsi="Times New Roman" w:cs="Times New Roman"/>
          <w:sz w:val="28"/>
          <w:szCs w:val="28"/>
        </w:rPr>
        <w:t xml:space="preserve">)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«а», «б» и «г» пункта 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Порядка.</w:t>
      </w:r>
      <w:r/>
    </w:p>
    <w:p>
      <w:pPr>
        <w:pStyle w:val="862"/>
        <w:ind w:firstLine="709"/>
        <w:jc w:val="both"/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подпунктами «б»</w:t>
      </w:r>
      <w:r>
        <w:rPr>
          <w:rFonts w:ascii="Times New Roman" w:hAnsi="Times New Roman" w:cs="Times New Roman"/>
          <w:sz w:val="28"/>
          <w:szCs w:val="28"/>
        </w:rPr>
        <w:t xml:space="preserve"> и «г» пункта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одновременно с оригиналами. Копии документов заверяет лицо, принимающее документы, после проверки их соответствия оригиналам.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документов по почте или иным способом копии документов должны быть заверены в установленном законодательством порядке.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ненадлежащим образом оформленных документов или неполного пакета документов, предусмотренных настоящим пунктом,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или филиал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со дня поступления документов возвращает их без рассмотрения гражданину для </w:t>
      </w:r>
      <w:r>
        <w:rPr>
          <w:rFonts w:ascii="Times New Roman" w:hAnsi="Times New Roman" w:cs="Times New Roman"/>
          <w:sz w:val="28"/>
          <w:szCs w:val="28"/>
        </w:rPr>
        <w:t xml:space="preserve">дооформления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дооформления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гражданин вправе повторно обратиться в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или филиал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порядке,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или филиал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не вправе требовать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гражданина представления документов (сведений),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«в» и «д» пункта 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Порядка.</w:t>
      </w:r>
      <w:r/>
    </w:p>
    <w:p>
      <w:pPr>
        <w:pStyle w:val="862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Гражданин вправе представить указанные документы (сведения)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или филиал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гражданин не представил документы (сведения),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«в» и «д» пункта 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запрашивает их в соответствующих органах государственной власти и органах местного самоуправления.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В случае если гражданин ранее представлял в </w:t>
      </w:r>
      <w:r>
        <w:rPr>
          <w:rFonts w:ascii="Times New Roman" w:hAnsi="Times New Roman" w:cs="Times New Roman"/>
          <w:sz w:val="28"/>
          <w:szCs w:val="28"/>
        </w:rPr>
        <w:t xml:space="preserve">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документы (сведения) для осуществления денежной выплаты в 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дком осуществления в 2022 году денежной выплаты гражданам, временно отселенным из многоквартирного жилого дома, пострадавшего </w:t>
        <w:br/>
        <w:t xml:space="preserve">в чрезвычайной ситуации, возникшей в результате взрыва бытового газа, произошедшего 06 ноября 2018 года на территории муниципальн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ого образования «Приамурское городское поселение» Смидовичского муниципального района Еврейской автономной области, по адресу: </w:t>
        <w:br/>
        <w:t xml:space="preserve">пос. Приамурский, ул. Островского, д. 12,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08.02.2022 № 31-пп, </w:t>
      </w:r>
      <w:r>
        <w:rPr>
          <w:rFonts w:ascii="Times New Roman" w:hAnsi="Times New Roman" w:cs="Times New Roman"/>
          <w:sz w:val="28"/>
          <w:szCs w:val="28"/>
        </w:rPr>
        <w:t xml:space="preserve">повторно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представление документов, предусмотренных подпунктами «б» и «г» пункта 4 настоящего Порядка, для осуществления денежной выплаты не требуется.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Филиал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получения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5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передает их </w:t>
        <w:br/>
        <w:t xml:space="preserve">в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Решение об осуществлении денежной выплаты либо об отказе </w:t>
        <w:br/>
        <w:t xml:space="preserve">в осуществлении ден</w:t>
      </w:r>
      <w:r>
        <w:rPr>
          <w:rFonts w:ascii="Times New Roman" w:hAnsi="Times New Roman" w:cs="Times New Roman"/>
          <w:sz w:val="28"/>
          <w:szCs w:val="28"/>
        </w:rPr>
        <w:t xml:space="preserve">ежной выплаты принимается ОГБУ 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пунктом 5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ствлении денежной выплаты ОГБУ 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данного решения направляет гражданину уведомление с обоснованием причин отказа.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2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осуществлении денежной выплаты являются:</w:t>
      </w:r>
      <w:r/>
    </w:p>
    <w:p>
      <w:pPr>
        <w:pStyle w:val="862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гражданина условиям,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пунктом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в представленных гражданином документах (сведениях) недостоверной информации.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осуществлении денежной выплаты 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перечисляет денежные средства на расчетный счет гражданина, указанный в заявлении об осуществлении денежной выплаты, </w:t>
        <w:br/>
        <w:t xml:space="preserve">в течение 10 рабочих дней со дня принятия соответствующего решения.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9346191"/>
      <w:docPartObj>
        <w:docPartGallery w:val="Page Numbers (Top of Page)"/>
        <w:docPartUnique w:val="true"/>
      </w:docPartObj>
      <w:rPr/>
    </w:sdtPr>
    <w:sdtContent>
      <w:p>
        <w:pPr>
          <w:pStyle w:val="865"/>
          <w:jc w:val="center"/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</w:rPr>
          <w:t xml:space="preserve">4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  <w:r/>
      </w:p>
    </w:sdtContent>
  </w:sdt>
  <w:p>
    <w:pPr>
      <w:pStyle w:val="8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/>
    <w:r/>
  </w:p>
  <w:p>
    <w:pPr>
      <w:pStyle w:val="8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9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9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9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8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8"/>
    <w:next w:val="858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9"/>
    <w:link w:val="702"/>
    <w:uiPriority w:val="10"/>
    <w:rPr>
      <w:sz w:val="48"/>
      <w:szCs w:val="48"/>
    </w:rPr>
  </w:style>
  <w:style w:type="paragraph" w:styleId="704">
    <w:name w:val="Subtitle"/>
    <w:basedOn w:val="858"/>
    <w:next w:val="858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9"/>
    <w:link w:val="704"/>
    <w:uiPriority w:val="11"/>
    <w:rPr>
      <w:sz w:val="24"/>
      <w:szCs w:val="24"/>
    </w:rPr>
  </w:style>
  <w:style w:type="paragraph" w:styleId="706">
    <w:name w:val="Quote"/>
    <w:basedOn w:val="858"/>
    <w:next w:val="858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8"/>
    <w:next w:val="858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9"/>
    <w:link w:val="865"/>
    <w:uiPriority w:val="99"/>
  </w:style>
  <w:style w:type="character" w:styleId="711">
    <w:name w:val="Footer Char"/>
    <w:basedOn w:val="859"/>
    <w:link w:val="867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7"/>
    <w:uiPriority w:val="99"/>
  </w:style>
  <w:style w:type="table" w:styleId="714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Arial"/>
      <w:sz w:val="18"/>
      <w:szCs w:val="18"/>
      <w:lang w:eastAsia="ru-RU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63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6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65">
    <w:name w:val="Header"/>
    <w:basedOn w:val="858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859"/>
    <w:link w:val="865"/>
    <w:uiPriority w:val="99"/>
    <w:rPr>
      <w:rFonts w:ascii="Arial" w:hAnsi="Arial" w:eastAsia="Times New Roman" w:cs="Arial"/>
      <w:sz w:val="18"/>
      <w:szCs w:val="18"/>
      <w:lang w:eastAsia="ru-RU"/>
    </w:rPr>
  </w:style>
  <w:style w:type="paragraph" w:styleId="867">
    <w:name w:val="Footer"/>
    <w:basedOn w:val="858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859"/>
    <w:link w:val="867"/>
    <w:uiPriority w:val="99"/>
    <w:rPr>
      <w:rFonts w:ascii="Arial" w:hAnsi="Arial" w:eastAsia="Times New Roman" w:cs="Arial"/>
      <w:sz w:val="18"/>
      <w:szCs w:val="18"/>
      <w:lang w:eastAsia="ru-RU"/>
    </w:rPr>
  </w:style>
  <w:style w:type="paragraph" w:styleId="869">
    <w:name w:val="Balloon Text"/>
    <w:basedOn w:val="858"/>
    <w:link w:val="870"/>
    <w:uiPriority w:val="99"/>
    <w:semiHidden/>
    <w:unhideWhenUsed/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59"/>
    <w:link w:val="869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Ольга Александровна</dc:creator>
  <cp:revision>17</cp:revision>
  <dcterms:created xsi:type="dcterms:W3CDTF">2022-11-28T04:25:00Z</dcterms:created>
  <dcterms:modified xsi:type="dcterms:W3CDTF">2023-10-11T06:17:34Z</dcterms:modified>
</cp:coreProperties>
</file>